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9B1A03">
        <w:rPr>
          <w:rFonts w:ascii="Times New Roman" w:hAnsi="Times New Roman" w:cs="Times New Roman"/>
          <w:color w:val="333333"/>
          <w:sz w:val="28"/>
          <w:szCs w:val="20"/>
          <w:shd w:val="clear" w:color="auto" w:fill="FFFFEE"/>
        </w:rPr>
        <w:t>16 сентября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340714">
        <w:rPr>
          <w:rFonts w:ascii="Times New Roman" w:hAnsi="Times New Roman" w:cs="Times New Roman"/>
          <w:color w:val="333333"/>
          <w:sz w:val="28"/>
          <w:szCs w:val="20"/>
          <w:shd w:val="clear" w:color="auto" w:fill="FFFFEE"/>
        </w:rPr>
        <w:t>2</w:t>
      </w:r>
      <w:r w:rsidRPr="00895AB4">
        <w:rPr>
          <w:rFonts w:ascii="Times New Roman" w:hAnsi="Times New Roman" w:cs="Times New Roman"/>
          <w:color w:val="333333"/>
          <w:sz w:val="28"/>
          <w:szCs w:val="20"/>
          <w:shd w:val="clear" w:color="auto" w:fill="FFFFEE"/>
        </w:rPr>
        <w:t xml:space="preserve"> года в 1</w:t>
      </w:r>
      <w:r w:rsidR="009B1A03">
        <w:rPr>
          <w:rFonts w:ascii="Times New Roman" w:hAnsi="Times New Roman" w:cs="Times New Roman"/>
          <w:color w:val="333333"/>
          <w:sz w:val="28"/>
          <w:szCs w:val="20"/>
          <w:shd w:val="clear" w:color="auto" w:fill="FFFFEE"/>
        </w:rPr>
        <w:t>0</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w:t>
      </w:r>
      <w:bookmarkStart w:id="0" w:name="_GoBack"/>
      <w:bookmarkEnd w:id="0"/>
      <w:r>
        <w:rPr>
          <w:rFonts w:ascii="Times New Roman" w:hAnsi="Times New Roman" w:cs="Times New Roman"/>
          <w:color w:val="333333"/>
          <w:sz w:val="28"/>
          <w:szCs w:val="20"/>
          <w:shd w:val="clear" w:color="auto" w:fill="FFFFEE"/>
        </w:rPr>
        <w:t>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40714"/>
    <w:rsid w:val="003F30BA"/>
    <w:rsid w:val="00430729"/>
    <w:rsid w:val="0056608E"/>
    <w:rsid w:val="00595CB7"/>
    <w:rsid w:val="005B2966"/>
    <w:rsid w:val="006B5005"/>
    <w:rsid w:val="008506BB"/>
    <w:rsid w:val="00895AB4"/>
    <w:rsid w:val="00995453"/>
    <w:rsid w:val="009B1A03"/>
    <w:rsid w:val="00C35C39"/>
    <w:rsid w:val="00D86551"/>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10</cp:revision>
  <dcterms:created xsi:type="dcterms:W3CDTF">2019-07-24T11:53:00Z</dcterms:created>
  <dcterms:modified xsi:type="dcterms:W3CDTF">2022-09-15T12:44:00Z</dcterms:modified>
</cp:coreProperties>
</file>